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1625" w14:textId="2837697F" w:rsidR="00CC0A82" w:rsidRPr="00CC0A82" w:rsidRDefault="00156175" w:rsidP="00CC0A82">
      <w:pPr>
        <w:spacing w:after="0" w:line="240" w:lineRule="auto"/>
        <w:textAlignment w:val="baseline"/>
        <w:rPr>
          <w:rFonts w:ascii="Times New Roman" w:eastAsia="Times New Roman" w:hAnsi="Times New Roman" w:cs="Times New Roman"/>
          <w:sz w:val="24"/>
          <w:szCs w:val="24"/>
        </w:rPr>
      </w:pPr>
      <w:r w:rsidRPr="00156175">
        <w:rPr>
          <w:rFonts w:ascii="Times New Roman" w:eastAsia="Times New Roman" w:hAnsi="Times New Roman" w:cs="Times New Roman"/>
          <w:sz w:val="44"/>
          <w:szCs w:val="44"/>
          <w:u w:val="single"/>
        </w:rPr>
        <w:t>Californians for Homeownership</w:t>
      </w:r>
      <w:r w:rsidR="00CC0A82" w:rsidRPr="00CC0A82">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11C1CA4E" wp14:editId="527AD432">
                <wp:extent cx="304800" cy="304800"/>
                <wp:effectExtent l="0" t="0" r="0" b="0"/>
                <wp:docPr id="1" name="Rectangle 1">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EEBE" id="Rectangle 1" o:spid="_x0000_s1026" href="https://www.caforhomes.org/"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" o:button="t" filled="f" stroked="f">
                <v:fill o:detectmouseclick="t"/>
                <o:lock v:ext="edit" aspectratio="t"/>
                <w10:anchorlock/>
              </v:rect>
            </w:pict>
          </mc:Fallback>
        </mc:AlternateContent>
      </w:r>
      <w:bookmarkStart w:id="0" w:name="_GoBack"/>
      <w:bookmarkEnd w:id="0"/>
    </w:p>
    <w:p w14:paraId="4E923832" w14:textId="77777777" w:rsidR="00CC0A82" w:rsidRPr="00CC0A82" w:rsidRDefault="00CC0A82" w:rsidP="00CC0A82">
      <w:pPr>
        <w:spacing w:after="0" w:line="336" w:lineRule="atLeast"/>
        <w:ind w:left="360"/>
        <w:jc w:val="center"/>
        <w:textAlignment w:val="baseline"/>
        <w:rPr>
          <w:rFonts w:ascii="Arial" w:eastAsia="Times New Roman" w:hAnsi="Arial" w:cs="Times New Roman"/>
          <w:b/>
          <w:bCs/>
          <w:color w:val="0000FF"/>
          <w:sz w:val="33"/>
          <w:szCs w:val="33"/>
          <w:bdr w:val="none" w:sz="0" w:space="0" w:color="auto" w:frame="1"/>
        </w:rPr>
      </w:pPr>
      <w:r w:rsidRPr="00CC0A82">
        <w:rPr>
          <w:rFonts w:ascii="Arial" w:eastAsia="Times New Roman" w:hAnsi="Arial" w:cs="Times New Roman"/>
          <w:b/>
          <w:bCs/>
          <w:sz w:val="33"/>
          <w:szCs w:val="33"/>
        </w:rPr>
        <w:fldChar w:fldCharType="begin"/>
      </w:r>
      <w:r w:rsidRPr="00CC0A82">
        <w:rPr>
          <w:rFonts w:ascii="Arial" w:eastAsia="Times New Roman" w:hAnsi="Arial" w:cs="Times New Roman"/>
          <w:b/>
          <w:bCs/>
          <w:sz w:val="33"/>
          <w:szCs w:val="33"/>
        </w:rPr>
        <w:instrText xml:space="preserve"> HYPERLINK "https://www.caforhomes.org/mission" \t "_self" </w:instrText>
      </w:r>
      <w:r w:rsidRPr="00CC0A82">
        <w:rPr>
          <w:rFonts w:ascii="Arial" w:eastAsia="Times New Roman" w:hAnsi="Arial" w:cs="Times New Roman"/>
          <w:b/>
          <w:bCs/>
          <w:sz w:val="33"/>
          <w:szCs w:val="33"/>
        </w:rPr>
        <w:fldChar w:fldCharType="separate"/>
      </w:r>
    </w:p>
    <w:p w14:paraId="5A82BD30" w14:textId="77777777" w:rsidR="00CC0A82" w:rsidRPr="00CC0A82" w:rsidRDefault="00CC0A82" w:rsidP="00CC0A82">
      <w:pPr>
        <w:spacing w:after="0" w:line="435" w:lineRule="atLeast"/>
        <w:jc w:val="center"/>
        <w:textAlignment w:val="baseline"/>
        <w:rPr>
          <w:rFonts w:ascii="Times New Roman" w:eastAsia="Times New Roman" w:hAnsi="Times New Roman" w:cs="Times New Roman"/>
          <w:color w:val="605E5E"/>
          <w:sz w:val="44"/>
          <w:szCs w:val="44"/>
        </w:rPr>
      </w:pPr>
      <w:r w:rsidRPr="00CC0A82">
        <w:rPr>
          <w:rFonts w:ascii="Arial" w:eastAsia="Times New Roman" w:hAnsi="Arial" w:cs="Times New Roman"/>
          <w:b/>
          <w:bCs/>
          <w:color w:val="605E5E"/>
          <w:sz w:val="44"/>
          <w:szCs w:val="44"/>
          <w:bdr w:val="none" w:sz="0" w:space="0" w:color="auto" w:frame="1"/>
        </w:rPr>
        <w:t>Our Mission</w:t>
      </w:r>
    </w:p>
    <w:p w14:paraId="64A0D146" w14:textId="77777777" w:rsidR="00CC0A82" w:rsidRPr="00CC0A82" w:rsidRDefault="00CC0A82" w:rsidP="00CC0A82">
      <w:pPr>
        <w:spacing w:after="0" w:line="336" w:lineRule="atLeast"/>
        <w:jc w:val="center"/>
        <w:textAlignment w:val="baseline"/>
        <w:rPr>
          <w:rFonts w:ascii="Arial" w:eastAsia="Times New Roman" w:hAnsi="Arial" w:cs="Times New Roman"/>
          <w:b/>
          <w:bCs/>
          <w:sz w:val="33"/>
          <w:szCs w:val="33"/>
        </w:rPr>
      </w:pPr>
      <w:r w:rsidRPr="00CC0A82">
        <w:rPr>
          <w:rFonts w:ascii="Arial" w:eastAsia="Times New Roman" w:hAnsi="Arial" w:cs="Times New Roman"/>
          <w:b/>
          <w:bCs/>
          <w:sz w:val="33"/>
          <w:szCs w:val="33"/>
        </w:rPr>
        <w:fldChar w:fldCharType="end"/>
      </w:r>
    </w:p>
    <w:p w14:paraId="029956F2" w14:textId="77777777" w:rsidR="00CC0A82" w:rsidRPr="00CC0A82" w:rsidRDefault="00CC0A82" w:rsidP="00CC0A82">
      <w:pPr>
        <w:spacing w:after="0" w:line="336" w:lineRule="atLeast"/>
        <w:textAlignment w:val="baseline"/>
        <w:rPr>
          <w:rFonts w:ascii="Arial" w:eastAsia="Times New Roman" w:hAnsi="Arial" w:cs="Times New Roman"/>
          <w:b/>
          <w:bCs/>
          <w:sz w:val="33"/>
          <w:szCs w:val="33"/>
        </w:rPr>
      </w:pPr>
    </w:p>
    <w:p w14:paraId="4FA93B02" w14:textId="0A5EDA90" w:rsidR="00CC0A82" w:rsidRPr="00CC0A82" w:rsidRDefault="00CC0A82" w:rsidP="00CC0A82">
      <w:pPr>
        <w:spacing w:after="0" w:line="240" w:lineRule="auto"/>
        <w:jc w:val="both"/>
        <w:textAlignment w:val="baseline"/>
        <w:rPr>
          <w:rFonts w:ascii="Arial" w:eastAsia="Times New Roman" w:hAnsi="Arial" w:cs="Times New Roman"/>
          <w:color w:val="2F2E2E"/>
          <w:sz w:val="45"/>
          <w:szCs w:val="45"/>
        </w:rPr>
      </w:pPr>
      <w:r w:rsidRPr="00CC0A82">
        <w:rPr>
          <w:rFonts w:ascii="Arial" w:eastAsia="Times New Roman" w:hAnsi="Arial" w:cs="Times New Roman"/>
          <w:b/>
          <w:bCs/>
          <w:color w:val="273B7B"/>
          <w:sz w:val="45"/>
          <w:szCs w:val="45"/>
          <w:bdr w:val="none" w:sz="0" w:space="0" w:color="auto" w:frame="1"/>
        </w:rPr>
        <w:t>Californians for Homeownership keeps local anti-housing policies</w:t>
      </w:r>
      <w:r w:rsidR="00541CC7">
        <w:rPr>
          <w:rFonts w:ascii="Arial" w:eastAsia="Times New Roman" w:hAnsi="Arial" w:cs="Times New Roman"/>
          <w:b/>
          <w:bCs/>
          <w:color w:val="273B7B"/>
          <w:sz w:val="45"/>
          <w:szCs w:val="45"/>
          <w:bdr w:val="none" w:sz="0" w:space="0" w:color="auto" w:frame="1"/>
        </w:rPr>
        <w:t>-</w:t>
      </w:r>
      <w:r w:rsidRPr="00CC0A82">
        <w:rPr>
          <w:rFonts w:ascii="Arial" w:eastAsia="Times New Roman" w:hAnsi="Arial" w:cs="Times New Roman"/>
          <w:b/>
          <w:bCs/>
          <w:color w:val="273B7B"/>
          <w:sz w:val="45"/>
          <w:szCs w:val="45"/>
          <w:bdr w:val="none" w:sz="0" w:space="0" w:color="auto" w:frame="1"/>
        </w:rPr>
        <w:t>in</w:t>
      </w:r>
      <w:r w:rsidR="00541CC7">
        <w:rPr>
          <w:rFonts w:ascii="Arial" w:eastAsia="Times New Roman" w:hAnsi="Arial" w:cs="Times New Roman"/>
          <w:b/>
          <w:bCs/>
          <w:color w:val="273B7B"/>
          <w:sz w:val="45"/>
          <w:szCs w:val="45"/>
          <w:bdr w:val="none" w:sz="0" w:space="0" w:color="auto" w:frame="1"/>
        </w:rPr>
        <w:t>-</w:t>
      </w:r>
      <w:r w:rsidRPr="00CC0A82">
        <w:rPr>
          <w:rFonts w:ascii="Arial" w:eastAsia="Times New Roman" w:hAnsi="Arial" w:cs="Times New Roman"/>
          <w:b/>
          <w:bCs/>
          <w:color w:val="273B7B"/>
          <w:sz w:val="45"/>
          <w:szCs w:val="45"/>
          <w:bdr w:val="none" w:sz="0" w:space="0" w:color="auto" w:frame="1"/>
        </w:rPr>
        <w:t>check</w:t>
      </w:r>
      <w:r w:rsidR="00541CC7">
        <w:rPr>
          <w:rFonts w:ascii="Arial" w:eastAsia="Times New Roman" w:hAnsi="Arial" w:cs="Times New Roman"/>
          <w:b/>
          <w:bCs/>
          <w:color w:val="273B7B"/>
          <w:sz w:val="45"/>
          <w:szCs w:val="45"/>
          <w:bdr w:val="none" w:sz="0" w:space="0" w:color="auto" w:frame="1"/>
        </w:rPr>
        <w:t>-</w:t>
      </w:r>
      <w:r w:rsidRPr="00CC0A82">
        <w:rPr>
          <w:rFonts w:ascii="Arial" w:eastAsia="Times New Roman" w:hAnsi="Arial" w:cs="Times New Roman"/>
          <w:b/>
          <w:bCs/>
          <w:color w:val="273B7B"/>
          <w:sz w:val="45"/>
          <w:szCs w:val="45"/>
          <w:bdr w:val="none" w:sz="0" w:space="0" w:color="auto" w:frame="1"/>
        </w:rPr>
        <w:t>through </w:t>
      </w:r>
      <w:hyperlink r:id="rId6" w:tgtFrame="_self" w:history="1">
        <w:r w:rsidRPr="00CC0A82">
          <w:rPr>
            <w:rFonts w:ascii="Arial" w:eastAsia="Times New Roman" w:hAnsi="Arial" w:cs="Times New Roman"/>
            <w:b/>
            <w:bCs/>
            <w:color w:val="0000FF"/>
            <w:sz w:val="45"/>
            <w:szCs w:val="45"/>
            <w:bdr w:val="none" w:sz="0" w:space="0" w:color="auto" w:frame="1"/>
          </w:rPr>
          <w:t>investigation</w:t>
        </w:r>
      </w:hyperlink>
      <w:r w:rsidRPr="00CC0A82">
        <w:rPr>
          <w:rFonts w:ascii="Arial" w:eastAsia="Times New Roman" w:hAnsi="Arial" w:cs="Times New Roman"/>
          <w:b/>
          <w:bCs/>
          <w:color w:val="273B7B"/>
          <w:sz w:val="45"/>
          <w:szCs w:val="45"/>
          <w:bdr w:val="none" w:sz="0" w:space="0" w:color="auto" w:frame="1"/>
        </w:rPr>
        <w:t>, </w:t>
      </w:r>
      <w:hyperlink r:id="rId7" w:tgtFrame="_self" w:history="1">
        <w:r w:rsidRPr="00CC0A82">
          <w:rPr>
            <w:rFonts w:ascii="Arial" w:eastAsia="Times New Roman" w:hAnsi="Arial" w:cs="Times New Roman"/>
            <w:b/>
            <w:bCs/>
            <w:color w:val="0000FF"/>
            <w:sz w:val="45"/>
            <w:szCs w:val="45"/>
            <w:bdr w:val="none" w:sz="0" w:space="0" w:color="auto" w:frame="1"/>
          </w:rPr>
          <w:t>litigation</w:t>
        </w:r>
      </w:hyperlink>
      <w:r w:rsidRPr="00CC0A82">
        <w:rPr>
          <w:rFonts w:ascii="Arial" w:eastAsia="Times New Roman" w:hAnsi="Arial" w:cs="Times New Roman"/>
          <w:b/>
          <w:bCs/>
          <w:color w:val="273B7B"/>
          <w:sz w:val="45"/>
          <w:szCs w:val="45"/>
          <w:bdr w:val="none" w:sz="0" w:space="0" w:color="auto" w:frame="1"/>
        </w:rPr>
        <w:t>, and </w:t>
      </w:r>
      <w:hyperlink r:id="rId8" w:tgtFrame="_self" w:history="1">
        <w:r w:rsidRPr="00CC0A82">
          <w:rPr>
            <w:rFonts w:ascii="Arial" w:eastAsia="Times New Roman" w:hAnsi="Arial" w:cs="Times New Roman"/>
            <w:b/>
            <w:bCs/>
            <w:color w:val="0000FF"/>
            <w:sz w:val="45"/>
            <w:szCs w:val="45"/>
            <w:bdr w:val="none" w:sz="0" w:space="0" w:color="auto" w:frame="1"/>
          </w:rPr>
          <w:t>education</w:t>
        </w:r>
      </w:hyperlink>
      <w:r w:rsidRPr="00CC0A82">
        <w:rPr>
          <w:rFonts w:ascii="Arial" w:eastAsia="Times New Roman" w:hAnsi="Arial" w:cs="Times New Roman"/>
          <w:b/>
          <w:bCs/>
          <w:color w:val="273B7B"/>
          <w:sz w:val="45"/>
          <w:szCs w:val="45"/>
          <w:bdr w:val="none" w:sz="0" w:space="0" w:color="auto" w:frame="1"/>
        </w:rPr>
        <w:t>.</w:t>
      </w:r>
    </w:p>
    <w:p w14:paraId="2A49A54E" w14:textId="77777777" w:rsidR="00CC0A82" w:rsidRPr="00CC0A82" w:rsidRDefault="00CC0A82" w:rsidP="00CC0A82">
      <w:pPr>
        <w:spacing w:after="0" w:line="240" w:lineRule="auto"/>
        <w:jc w:val="both"/>
        <w:textAlignment w:val="baseline"/>
        <w:outlineLvl w:val="5"/>
        <w:rPr>
          <w:rFonts w:ascii="Arial" w:eastAsia="Times New Roman" w:hAnsi="Arial" w:cs="Times New Roman"/>
          <w:b/>
          <w:bCs/>
          <w:color w:val="273B7B"/>
          <w:sz w:val="60"/>
          <w:szCs w:val="60"/>
        </w:rPr>
      </w:pPr>
      <w:r w:rsidRPr="00CC0A82">
        <w:rPr>
          <w:rFonts w:ascii="Arial" w:eastAsia="Times New Roman" w:hAnsi="Arial" w:cs="Times New Roman"/>
          <w:b/>
          <w:bCs/>
          <w:color w:val="273B7B"/>
          <w:sz w:val="60"/>
          <w:szCs w:val="60"/>
        </w:rPr>
        <w:t>Investigation</w:t>
      </w:r>
    </w:p>
    <w:p w14:paraId="66576931" w14:textId="77777777" w:rsidR="00CC0A82" w:rsidRPr="00CC0A82" w:rsidRDefault="00CC0A82" w:rsidP="00CC0A82">
      <w:pPr>
        <w:spacing w:after="0" w:line="240" w:lineRule="auto"/>
        <w:jc w:val="both"/>
        <w:textAlignment w:val="baseline"/>
        <w:rPr>
          <w:rFonts w:ascii="Arial" w:eastAsia="Times New Roman" w:hAnsi="Arial" w:cs="Times New Roman"/>
          <w:color w:val="2F2E2E"/>
          <w:sz w:val="30"/>
          <w:szCs w:val="30"/>
        </w:rPr>
      </w:pPr>
      <w:r w:rsidRPr="00CC0A82">
        <w:rPr>
          <w:rFonts w:ascii="Arial" w:eastAsia="Times New Roman" w:hAnsi="Arial" w:cs="Times New Roman"/>
          <w:b/>
          <w:bCs/>
          <w:color w:val="2F2E2E"/>
          <w:sz w:val="30"/>
          <w:szCs w:val="30"/>
          <w:bdr w:val="none" w:sz="0" w:space="0" w:color="auto" w:frame="1"/>
        </w:rPr>
        <w:t>​</w:t>
      </w:r>
    </w:p>
    <w:p w14:paraId="426B5E0F"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 xml:space="preserve">The decisions that drive housing access and affordability in California take place in over 500 city halls and county halls of administration across the state. In many cities, a simple zoning-compliant housing development project might face assessment by city staff, an architectural review board, the planning commission, and the city council. At each stage, there is a risk that the city will unlawfully reject the project or impose conditions that reduce the size or affordability of the project. Many violations of housing law go unnoticed because these local decisions are made without </w:t>
      </w:r>
      <w:proofErr w:type="gramStart"/>
      <w:r w:rsidRPr="00CC0A82">
        <w:rPr>
          <w:rFonts w:ascii="Arial" w:eastAsia="Times New Roman" w:hAnsi="Arial" w:cs="Arial"/>
          <w:b/>
          <w:bCs/>
          <w:color w:val="2F2E2E"/>
          <w:sz w:val="30"/>
          <w:szCs w:val="30"/>
          <w:bdr w:val="none" w:sz="0" w:space="0" w:color="auto" w:frame="1"/>
        </w:rPr>
        <w:t>sufficient</w:t>
      </w:r>
      <w:proofErr w:type="gramEnd"/>
      <w:r w:rsidRPr="00CC0A82">
        <w:rPr>
          <w:rFonts w:ascii="Arial" w:eastAsia="Times New Roman" w:hAnsi="Arial" w:cs="Arial"/>
          <w:b/>
          <w:bCs/>
          <w:color w:val="2F2E2E"/>
          <w:sz w:val="30"/>
          <w:szCs w:val="30"/>
          <w:bdr w:val="none" w:sz="0" w:space="0" w:color="auto" w:frame="1"/>
        </w:rPr>
        <w:t xml:space="preserve"> oversight. We are working to put a spotlight on these local decisions and ensure that California's cities are working to solve the housing crisis, not exacerbate it.</w:t>
      </w:r>
    </w:p>
    <w:p w14:paraId="2C043673"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38A99AD1"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 xml:space="preserve">We use </w:t>
      </w:r>
      <w:proofErr w:type="gramStart"/>
      <w:r w:rsidRPr="00CC0A82">
        <w:rPr>
          <w:rFonts w:ascii="Arial" w:eastAsia="Times New Roman" w:hAnsi="Arial" w:cs="Arial"/>
          <w:b/>
          <w:bCs/>
          <w:color w:val="2F2E2E"/>
          <w:sz w:val="30"/>
          <w:szCs w:val="30"/>
          <w:bdr w:val="none" w:sz="0" w:space="0" w:color="auto" w:frame="1"/>
        </w:rPr>
        <w:t>a number of</w:t>
      </w:r>
      <w:proofErr w:type="gramEnd"/>
      <w:r w:rsidRPr="00CC0A82">
        <w:rPr>
          <w:rFonts w:ascii="Arial" w:eastAsia="Times New Roman" w:hAnsi="Arial" w:cs="Arial"/>
          <w:b/>
          <w:bCs/>
          <w:color w:val="2F2E2E"/>
          <w:sz w:val="30"/>
          <w:szCs w:val="30"/>
          <w:bdr w:val="none" w:sz="0" w:space="0" w:color="auto" w:frame="1"/>
        </w:rPr>
        <w:t xml:space="preserve"> methods for monitoring local compliance with housing law:</w:t>
      </w:r>
    </w:p>
    <w:p w14:paraId="5DA510E0"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085501F" w14:textId="77777777" w:rsidR="00CC0A82" w:rsidRPr="00CC0A82" w:rsidRDefault="00CC0A82" w:rsidP="00CC0A82">
      <w:pPr>
        <w:numPr>
          <w:ilvl w:val="0"/>
          <w:numId w:val="2"/>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lastRenderedPageBreak/>
        <w:t>We review public hearing notices, permit application databases, and similar sources of information available to the general public.</w:t>
      </w:r>
    </w:p>
    <w:p w14:paraId="355F7A92"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AEE0D8E" w14:textId="77777777" w:rsidR="00CC0A82" w:rsidRPr="00CC0A82" w:rsidRDefault="00CC0A82" w:rsidP="00CC0A82">
      <w:pPr>
        <w:numPr>
          <w:ilvl w:val="0"/>
          <w:numId w:val="3"/>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We make targeted requests under the California Public Records Act.</w:t>
      </w:r>
    </w:p>
    <w:p w14:paraId="098AC440"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B977F8D" w14:textId="77777777" w:rsidR="00CC0A82" w:rsidRPr="00CC0A82" w:rsidRDefault="00CC0A82" w:rsidP="00CC0A82">
      <w:pPr>
        <w:numPr>
          <w:ilvl w:val="0"/>
          <w:numId w:val="4"/>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We maintain relationships with homeowners and others who are interested in developing or providing housing.</w:t>
      </w:r>
    </w:p>
    <w:p w14:paraId="6E0515D1"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5422EBB6" w14:textId="77777777" w:rsidR="00CC0A82" w:rsidRPr="00CC0A82" w:rsidRDefault="00CC0A82" w:rsidP="00CC0A82">
      <w:pPr>
        <w:numPr>
          <w:ilvl w:val="0"/>
          <w:numId w:val="5"/>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We work with other pro-housing nonprofits and local organizations to share information about unlawful conduct by local governments.</w:t>
      </w:r>
    </w:p>
    <w:p w14:paraId="5AB97776"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1828DB9C" w14:textId="77777777" w:rsidR="00CC0A82" w:rsidRPr="00CC0A82" w:rsidRDefault="00CC0A82" w:rsidP="00CC0A82">
      <w:pPr>
        <w:numPr>
          <w:ilvl w:val="0"/>
          <w:numId w:val="6"/>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We monitor efforts by anti-housing groups to persuade local government bodies to unlawfully obstruct efforts to build or provide access to housing.</w:t>
      </w:r>
    </w:p>
    <w:p w14:paraId="727DBF2B"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5D1BCA1B"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When we learn that a city is not complying with the law or is at risk of making a decision that would violate the law, we tell them. If they don't listen, we sue them.</w:t>
      </w:r>
    </w:p>
    <w:p w14:paraId="0E2566D2" w14:textId="77777777" w:rsidR="00CC0A82" w:rsidRPr="00CC0A82" w:rsidRDefault="00CC0A82" w:rsidP="00CC0A82">
      <w:pPr>
        <w:spacing w:after="150" w:line="240" w:lineRule="auto"/>
        <w:textAlignment w:val="baseline"/>
        <w:rPr>
          <w:rFonts w:ascii="Times New Roman" w:eastAsia="Times New Roman" w:hAnsi="Times New Roman" w:cs="Times New Roman"/>
          <w:sz w:val="24"/>
          <w:szCs w:val="24"/>
        </w:rPr>
      </w:pPr>
      <w:r w:rsidRPr="00CC0A82">
        <w:rPr>
          <w:rFonts w:ascii="Times New Roman" w:eastAsia="Times New Roman" w:hAnsi="Times New Roman" w:cs="Times New Roman"/>
          <w:sz w:val="24"/>
          <w:szCs w:val="24"/>
        </w:rPr>
        <w:t> </w:t>
      </w:r>
    </w:p>
    <w:p w14:paraId="4BE6472D" w14:textId="77777777" w:rsidR="00CC0A82" w:rsidRPr="00CC0A82" w:rsidRDefault="00CC0A82" w:rsidP="00CC0A82">
      <w:pPr>
        <w:spacing w:after="0" w:line="240" w:lineRule="auto"/>
        <w:jc w:val="both"/>
        <w:textAlignment w:val="baseline"/>
        <w:outlineLvl w:val="5"/>
        <w:rPr>
          <w:rFonts w:ascii="Arial" w:eastAsia="Times New Roman" w:hAnsi="Arial" w:cs="Arial"/>
          <w:b/>
          <w:bCs/>
          <w:color w:val="273B7B"/>
          <w:sz w:val="38"/>
          <w:szCs w:val="38"/>
        </w:rPr>
      </w:pPr>
      <w:r w:rsidRPr="00CC0A82">
        <w:rPr>
          <w:rFonts w:ascii="Arial" w:eastAsia="Times New Roman" w:hAnsi="Arial" w:cs="Arial"/>
          <w:b/>
          <w:bCs/>
          <w:color w:val="273B7B"/>
          <w:sz w:val="38"/>
          <w:szCs w:val="38"/>
          <w:bdr w:val="none" w:sz="0" w:space="0" w:color="auto" w:frame="1"/>
        </w:rPr>
        <w:t>Focus on: Accessory Dwelling Units</w:t>
      </w:r>
    </w:p>
    <w:p w14:paraId="5C456EB9"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6EB5A631"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Since 2017, California cities have been required to allow the owners of most single-family homes to add accessory dwelling units (ADUs) or 'in-law units' to their properties. Cities have been slow to comply with this rule, despite universal support for ADUs from neighborhood groups, affordable housing organizations, and residents testifying at public meetings.</w:t>
      </w:r>
    </w:p>
    <w:p w14:paraId="49B590B9"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color w:val="2F2E2E"/>
          <w:sz w:val="30"/>
          <w:szCs w:val="30"/>
        </w:rPr>
        <w:t> </w:t>
      </w:r>
    </w:p>
    <w:p w14:paraId="557DEAD6"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lastRenderedPageBreak/>
        <w:t>We are conducting a statewide review of compliance with these rules, reaching out to non-compliant cities and filing lawsuits against the worst offenders. </w:t>
      </w:r>
    </w:p>
    <w:p w14:paraId="5AA70794" w14:textId="77777777" w:rsidR="00CC0A82" w:rsidRPr="00CC0A82" w:rsidRDefault="00CC0A82" w:rsidP="00CC0A82">
      <w:pPr>
        <w:spacing w:after="0" w:line="240" w:lineRule="auto"/>
        <w:jc w:val="both"/>
        <w:textAlignment w:val="baseline"/>
        <w:outlineLvl w:val="5"/>
        <w:rPr>
          <w:rFonts w:ascii="Arial" w:eastAsia="Times New Roman" w:hAnsi="Arial" w:cs="Arial"/>
          <w:b/>
          <w:bCs/>
          <w:color w:val="273B7B"/>
          <w:sz w:val="38"/>
          <w:szCs w:val="38"/>
        </w:rPr>
      </w:pPr>
      <w:r w:rsidRPr="00CC0A82">
        <w:rPr>
          <w:rFonts w:ascii="Arial" w:eastAsia="Times New Roman" w:hAnsi="Arial" w:cs="Arial"/>
          <w:b/>
          <w:bCs/>
          <w:color w:val="273B7B"/>
          <w:sz w:val="38"/>
          <w:szCs w:val="38"/>
          <w:bdr w:val="none" w:sz="0" w:space="0" w:color="auto" w:frame="1"/>
        </w:rPr>
        <w:t>Focus on: Housing Accountability Act</w:t>
      </w:r>
    </w:p>
    <w:p w14:paraId="54DAB1EC"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64E89FEC"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The Housing Accountability Act requires cities to use </w:t>
      </w:r>
      <w:r w:rsidRPr="00CC0A82">
        <w:rPr>
          <w:rFonts w:ascii="Arial" w:eastAsia="Times New Roman" w:hAnsi="Arial" w:cs="Arial"/>
          <w:b/>
          <w:bCs/>
          <w:i/>
          <w:iCs/>
          <w:color w:val="2F2E2E"/>
          <w:sz w:val="30"/>
          <w:szCs w:val="30"/>
          <w:bdr w:val="none" w:sz="0" w:space="0" w:color="auto" w:frame="1"/>
        </w:rPr>
        <w:t>specific</w:t>
      </w:r>
      <w:r w:rsidRPr="00CC0A82">
        <w:rPr>
          <w:rFonts w:ascii="Arial" w:eastAsia="Times New Roman" w:hAnsi="Arial" w:cs="Arial"/>
          <w:b/>
          <w:bCs/>
          <w:color w:val="2F2E2E"/>
          <w:sz w:val="30"/>
          <w:szCs w:val="30"/>
          <w:bdr w:val="none" w:sz="0" w:space="0" w:color="auto" w:frame="1"/>
        </w:rPr>
        <w:t>, </w:t>
      </w:r>
      <w:r w:rsidRPr="00CC0A82">
        <w:rPr>
          <w:rFonts w:ascii="Arial" w:eastAsia="Times New Roman" w:hAnsi="Arial" w:cs="Arial"/>
          <w:b/>
          <w:bCs/>
          <w:i/>
          <w:iCs/>
          <w:color w:val="2F2E2E"/>
          <w:sz w:val="30"/>
          <w:szCs w:val="30"/>
          <w:bdr w:val="none" w:sz="0" w:space="0" w:color="auto" w:frame="1"/>
        </w:rPr>
        <w:t>objective</w:t>
      </w:r>
      <w:r w:rsidRPr="00CC0A82">
        <w:rPr>
          <w:rFonts w:ascii="Arial" w:eastAsia="Times New Roman" w:hAnsi="Arial" w:cs="Arial"/>
          <w:b/>
          <w:bCs/>
          <w:color w:val="2F2E2E"/>
          <w:sz w:val="30"/>
          <w:szCs w:val="30"/>
          <w:bdr w:val="none" w:sz="0" w:space="0" w:color="auto" w:frame="1"/>
        </w:rPr>
        <w:t> criteria when they assess applications to build zoning-compliant housing development projects. For affordable housing projects, even stricter rules apply. The Legislature recently gave organizations like Californians for Homeownership an automatic right to sue to obtain approval of a project, without any participation by the applicant.</w:t>
      </w:r>
    </w:p>
    <w:p w14:paraId="4B4BFDDF"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color w:val="2F2E2E"/>
          <w:sz w:val="30"/>
          <w:szCs w:val="30"/>
          <w:bdr w:val="none" w:sz="0" w:space="0" w:color="auto" w:frame="1"/>
        </w:rPr>
        <w:t>​</w:t>
      </w:r>
    </w:p>
    <w:p w14:paraId="3D572562"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We monitor local planning bodies to identify projects at risk of being denied based on arbitrary or subjective factors, and we remind the relevant decision-makers of the legal limits on their authority. If necessary, we sue.</w:t>
      </w:r>
    </w:p>
    <w:p w14:paraId="5342047B"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6B2C165" w14:textId="77777777" w:rsidR="00CC0A82" w:rsidRPr="00CC0A82" w:rsidRDefault="00CC0A82" w:rsidP="00CC0A82">
      <w:pPr>
        <w:spacing w:after="0" w:line="240" w:lineRule="auto"/>
        <w:jc w:val="both"/>
        <w:textAlignment w:val="baseline"/>
        <w:outlineLvl w:val="5"/>
        <w:rPr>
          <w:rFonts w:ascii="Arial" w:eastAsia="Times New Roman" w:hAnsi="Arial" w:cs="Arial"/>
          <w:b/>
          <w:bCs/>
          <w:color w:val="273B7B"/>
          <w:sz w:val="60"/>
          <w:szCs w:val="60"/>
        </w:rPr>
      </w:pPr>
      <w:r w:rsidRPr="00CC0A82">
        <w:rPr>
          <w:rFonts w:ascii="Arial" w:eastAsia="Times New Roman" w:hAnsi="Arial" w:cs="Arial"/>
          <w:b/>
          <w:bCs/>
          <w:color w:val="273B7B"/>
          <w:sz w:val="60"/>
          <w:szCs w:val="60"/>
        </w:rPr>
        <w:t>Litigation</w:t>
      </w:r>
    </w:p>
    <w:p w14:paraId="32B209F2"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733462FA"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Sometimes cities and counties refuse to comply with laws that increase housing access and affordability, even when given information about their legal obligations and an opportunity to correct their conduct. When persuasion fails, the next step is litigation.</w:t>
      </w:r>
    </w:p>
    <w:p w14:paraId="3BC5F766"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34B0D128"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 xml:space="preserve">California law provides a robust system for public interest litigation by non-profit organizations like Californians for Homeownership. In some cases, like when a project is rejected in violation of the Housing Accountability Act, the law grants pro-housing organizations an automatic right to sue. In other cases, non-profits are permitted to sue to represent important public interests, like the interests of those in need of access to more </w:t>
      </w:r>
      <w:r w:rsidRPr="00CC0A82">
        <w:rPr>
          <w:rFonts w:ascii="Arial" w:eastAsia="Times New Roman" w:hAnsi="Arial" w:cs="Arial"/>
          <w:b/>
          <w:bCs/>
          <w:color w:val="2F2E2E"/>
          <w:sz w:val="30"/>
          <w:szCs w:val="30"/>
          <w:bdr w:val="none" w:sz="0" w:space="0" w:color="auto" w:frame="1"/>
        </w:rPr>
        <w:lastRenderedPageBreak/>
        <w:t xml:space="preserve">affordable housing. And when </w:t>
      </w:r>
      <w:proofErr w:type="gramStart"/>
      <w:r w:rsidRPr="00CC0A82">
        <w:rPr>
          <w:rFonts w:ascii="Arial" w:eastAsia="Times New Roman" w:hAnsi="Arial" w:cs="Arial"/>
          <w:b/>
          <w:bCs/>
          <w:color w:val="2F2E2E"/>
          <w:sz w:val="30"/>
          <w:szCs w:val="30"/>
          <w:bdr w:val="none" w:sz="0" w:space="0" w:color="auto" w:frame="1"/>
        </w:rPr>
        <w:t>others</w:t>
      </w:r>
      <w:proofErr w:type="gramEnd"/>
      <w:r w:rsidRPr="00CC0A82">
        <w:rPr>
          <w:rFonts w:ascii="Arial" w:eastAsia="Times New Roman" w:hAnsi="Arial" w:cs="Arial"/>
          <w:b/>
          <w:bCs/>
          <w:color w:val="2F2E2E"/>
          <w:sz w:val="30"/>
          <w:szCs w:val="30"/>
          <w:bdr w:val="none" w:sz="0" w:space="0" w:color="auto" w:frame="1"/>
        </w:rPr>
        <w:t xml:space="preserve"> parties are engaged in litigation that could affect those interests, the law allows us to represent them through intervention or by acting as </w:t>
      </w:r>
      <w:r w:rsidRPr="00CC0A82">
        <w:rPr>
          <w:rFonts w:ascii="Arial" w:eastAsia="Times New Roman" w:hAnsi="Arial" w:cs="Arial"/>
          <w:b/>
          <w:bCs/>
          <w:i/>
          <w:iCs/>
          <w:color w:val="2F2E2E"/>
          <w:sz w:val="30"/>
          <w:szCs w:val="30"/>
          <w:bdr w:val="none" w:sz="0" w:space="0" w:color="auto" w:frame="1"/>
        </w:rPr>
        <w:t>amicus curiae</w:t>
      </w:r>
      <w:r w:rsidRPr="00CC0A82">
        <w:rPr>
          <w:rFonts w:ascii="Arial" w:eastAsia="Times New Roman" w:hAnsi="Arial" w:cs="Arial"/>
          <w:b/>
          <w:bCs/>
          <w:color w:val="2F2E2E"/>
          <w:sz w:val="30"/>
          <w:szCs w:val="30"/>
          <w:bdr w:val="none" w:sz="0" w:space="0" w:color="auto" w:frame="1"/>
        </w:rPr>
        <w:t> ("friend of the court"). </w:t>
      </w:r>
    </w:p>
    <w:p w14:paraId="7E54C1D8"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149D8544"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Through litigation, we can obtain:</w:t>
      </w:r>
    </w:p>
    <w:p w14:paraId="7A0E36AD"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0E5474CD" w14:textId="77777777" w:rsidR="00CC0A82" w:rsidRPr="00CC0A82" w:rsidRDefault="00CC0A82" w:rsidP="00CC0A82">
      <w:pPr>
        <w:numPr>
          <w:ilvl w:val="0"/>
          <w:numId w:val="7"/>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The court-ordered approval of a housing development project.</w:t>
      </w:r>
    </w:p>
    <w:p w14:paraId="591189F4"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10E6394C" w14:textId="77777777" w:rsidR="00CC0A82" w:rsidRPr="00CC0A82" w:rsidRDefault="00CC0A82" w:rsidP="00CC0A82">
      <w:pPr>
        <w:numPr>
          <w:ilvl w:val="0"/>
          <w:numId w:val="8"/>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A court order requiring the city to comply with the law in the future or to approve future applications to build housing.</w:t>
      </w:r>
    </w:p>
    <w:p w14:paraId="6B30E269"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4D6AD320" w14:textId="77777777" w:rsidR="00CC0A82" w:rsidRPr="00CC0A82" w:rsidRDefault="00CC0A82" w:rsidP="00CC0A82">
      <w:pPr>
        <w:numPr>
          <w:ilvl w:val="0"/>
          <w:numId w:val="9"/>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Ongoing court supervision of the city's compliance with the law.</w:t>
      </w:r>
    </w:p>
    <w:p w14:paraId="16324B91" w14:textId="77777777" w:rsidR="00CC0A82" w:rsidRPr="00CC0A82" w:rsidRDefault="00CC0A82" w:rsidP="00CC0A82">
      <w:pPr>
        <w:spacing w:after="0" w:line="240" w:lineRule="auto"/>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289C475" w14:textId="77777777" w:rsidR="00CC0A82" w:rsidRPr="00CC0A82" w:rsidRDefault="00CC0A82" w:rsidP="00CC0A82">
      <w:pPr>
        <w:numPr>
          <w:ilvl w:val="0"/>
          <w:numId w:val="10"/>
        </w:numPr>
        <w:spacing w:after="0" w:line="240" w:lineRule="auto"/>
        <w:ind w:left="600"/>
        <w:textAlignment w:val="baseline"/>
        <w:rPr>
          <w:rFonts w:ascii="Arial" w:eastAsia="Times New Roman" w:hAnsi="Arial" w:cs="Arial"/>
          <w:b/>
          <w:bCs/>
          <w:color w:val="2F2E2E"/>
          <w:sz w:val="30"/>
          <w:szCs w:val="30"/>
        </w:rPr>
      </w:pPr>
      <w:r w:rsidRPr="00CC0A82">
        <w:rPr>
          <w:rFonts w:ascii="Arial" w:eastAsia="Times New Roman" w:hAnsi="Arial" w:cs="Arial"/>
          <w:b/>
          <w:bCs/>
          <w:color w:val="2F2E2E"/>
          <w:sz w:val="30"/>
          <w:szCs w:val="30"/>
          <w:bdr w:val="none" w:sz="0" w:space="0" w:color="auto" w:frame="1"/>
        </w:rPr>
        <w:t>Stiff penalties designed to discourage non-compliance. For example, the Housing Accountability Act ​provides for fines in excess of $10,000 per improperly denied housing unit, to be paid into an affordable housing fund.</w:t>
      </w:r>
    </w:p>
    <w:p w14:paraId="1A427A9F"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0366EF7F"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We are equipped to litigate efficiently and cost-effectively because we employ full-time litigation counsel rather than relying on expensive outside law firms for our day-to-day litigation work.</w:t>
      </w:r>
    </w:p>
    <w:p w14:paraId="1EFE846D"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52B004C" w14:textId="77777777" w:rsidR="00CC0A82" w:rsidRPr="00CC0A82" w:rsidRDefault="00CC0A82" w:rsidP="00CC0A82">
      <w:pPr>
        <w:spacing w:after="150" w:line="240" w:lineRule="auto"/>
        <w:textAlignment w:val="baseline"/>
        <w:rPr>
          <w:rFonts w:ascii="Times New Roman" w:eastAsia="Times New Roman" w:hAnsi="Times New Roman" w:cs="Times New Roman"/>
          <w:sz w:val="24"/>
          <w:szCs w:val="24"/>
        </w:rPr>
      </w:pPr>
      <w:r w:rsidRPr="00CC0A82">
        <w:rPr>
          <w:rFonts w:ascii="Times New Roman" w:eastAsia="Times New Roman" w:hAnsi="Times New Roman" w:cs="Times New Roman"/>
          <w:sz w:val="24"/>
          <w:szCs w:val="24"/>
        </w:rPr>
        <w:t> </w:t>
      </w:r>
    </w:p>
    <w:p w14:paraId="7DB72E02" w14:textId="77777777" w:rsidR="00CC0A82" w:rsidRPr="00CC0A82" w:rsidRDefault="00CC0A82" w:rsidP="00CC0A82">
      <w:pPr>
        <w:spacing w:after="0" w:line="240" w:lineRule="auto"/>
        <w:jc w:val="both"/>
        <w:textAlignment w:val="baseline"/>
        <w:outlineLvl w:val="5"/>
        <w:rPr>
          <w:rFonts w:ascii="Arial" w:eastAsia="Times New Roman" w:hAnsi="Arial" w:cs="Arial"/>
          <w:b/>
          <w:bCs/>
          <w:color w:val="273B7B"/>
          <w:sz w:val="60"/>
          <w:szCs w:val="60"/>
        </w:rPr>
      </w:pPr>
      <w:r w:rsidRPr="00CC0A82">
        <w:rPr>
          <w:rFonts w:ascii="Arial" w:eastAsia="Times New Roman" w:hAnsi="Arial" w:cs="Arial"/>
          <w:b/>
          <w:bCs/>
          <w:color w:val="273B7B"/>
          <w:sz w:val="60"/>
          <w:szCs w:val="60"/>
        </w:rPr>
        <w:t>Education</w:t>
      </w:r>
    </w:p>
    <w:p w14:paraId="776D1116"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2E357DB1"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lastRenderedPageBreak/>
        <w:t>In addition to our investigation and litigation work, we are committed to providing information about laws designed to address the housing crisis to local elected officials, members of the public, and those who are interested in developing or providing access to housing. By increasing knowledge about the legal limits on local policies and decision-making, we hope to prevent future violations of the law before they require our intervention.</w:t>
      </w:r>
    </w:p>
    <w:p w14:paraId="5523BD26"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w:t>
      </w:r>
    </w:p>
    <w:p w14:paraId="571C5071"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To learn more about the laws governing local housing policies, check out </w:t>
      </w:r>
      <w:hyperlink r:id="rId9" w:tgtFrame="_self" w:history="1">
        <w:r w:rsidRPr="00CC0A82">
          <w:rPr>
            <w:rFonts w:ascii="Arial" w:eastAsia="Times New Roman" w:hAnsi="Arial" w:cs="Arial"/>
            <w:b/>
            <w:bCs/>
            <w:color w:val="0000FF"/>
            <w:sz w:val="30"/>
            <w:szCs w:val="30"/>
            <w:bdr w:val="none" w:sz="0" w:space="0" w:color="auto" w:frame="1"/>
          </w:rPr>
          <w:t>our Education page</w:t>
        </w:r>
      </w:hyperlink>
      <w:r w:rsidRPr="00CC0A82">
        <w:rPr>
          <w:rFonts w:ascii="Arial" w:eastAsia="Times New Roman" w:hAnsi="Arial" w:cs="Arial"/>
          <w:b/>
          <w:bCs/>
          <w:color w:val="2F2E2E"/>
          <w:sz w:val="30"/>
          <w:szCs w:val="30"/>
          <w:bdr w:val="none" w:sz="0" w:space="0" w:color="auto" w:frame="1"/>
        </w:rPr>
        <w:t>.  In addition to the information available on our website, we are working on a variety of educational resources, including sample documents and language that homeowners and small developers might find useful as they navigate the local land use decision-making process.  </w:t>
      </w:r>
    </w:p>
    <w:p w14:paraId="7446DFA1"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color w:val="2F2E2E"/>
          <w:sz w:val="30"/>
          <w:szCs w:val="30"/>
          <w:bdr w:val="none" w:sz="0" w:space="0" w:color="auto" w:frame="1"/>
        </w:rPr>
        <w:t>​</w:t>
      </w:r>
    </w:p>
    <w:p w14:paraId="5DFE28DC" w14:textId="77777777" w:rsidR="00CC0A82" w:rsidRPr="00CC0A82" w:rsidRDefault="00CC0A82" w:rsidP="00CC0A82">
      <w:pPr>
        <w:spacing w:after="0" w:line="240" w:lineRule="auto"/>
        <w:jc w:val="both"/>
        <w:textAlignment w:val="baseline"/>
        <w:rPr>
          <w:rFonts w:ascii="Arial" w:eastAsia="Times New Roman" w:hAnsi="Arial" w:cs="Arial"/>
          <w:color w:val="2F2E2E"/>
          <w:sz w:val="30"/>
          <w:szCs w:val="30"/>
        </w:rPr>
      </w:pPr>
      <w:r w:rsidRPr="00CC0A82">
        <w:rPr>
          <w:rFonts w:ascii="Arial" w:eastAsia="Times New Roman" w:hAnsi="Arial" w:cs="Arial"/>
          <w:b/>
          <w:bCs/>
          <w:color w:val="2F2E2E"/>
          <w:sz w:val="30"/>
          <w:szCs w:val="30"/>
          <w:bdr w:val="none" w:sz="0" w:space="0" w:color="auto" w:frame="1"/>
        </w:rPr>
        <w:t>If you have suggestions for issues we should address in future educational materials, </w:t>
      </w:r>
      <w:hyperlink r:id="rId10" w:tgtFrame="_self" w:history="1">
        <w:r w:rsidRPr="00CC0A82">
          <w:rPr>
            <w:rFonts w:ascii="Arial" w:eastAsia="Times New Roman" w:hAnsi="Arial" w:cs="Arial"/>
            <w:b/>
            <w:bCs/>
            <w:color w:val="0000FF"/>
            <w:sz w:val="30"/>
            <w:szCs w:val="30"/>
            <w:bdr w:val="none" w:sz="0" w:space="0" w:color="auto" w:frame="1"/>
          </w:rPr>
          <w:t>let us know</w:t>
        </w:r>
      </w:hyperlink>
      <w:r w:rsidRPr="00CC0A82">
        <w:rPr>
          <w:rFonts w:ascii="Arial" w:eastAsia="Times New Roman" w:hAnsi="Arial" w:cs="Arial"/>
          <w:b/>
          <w:bCs/>
          <w:color w:val="2F2E2E"/>
          <w:sz w:val="30"/>
          <w:szCs w:val="30"/>
          <w:bdr w:val="none" w:sz="0" w:space="0" w:color="auto" w:frame="1"/>
        </w:rPr>
        <w:t>.</w:t>
      </w:r>
    </w:p>
    <w:p w14:paraId="7A72660C" w14:textId="77777777" w:rsidR="00CC0A82" w:rsidRDefault="00CC0A82"/>
    <w:sectPr w:rsidR="00CC0A82" w:rsidSect="00CC0A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37D"/>
    <w:multiLevelType w:val="multilevel"/>
    <w:tmpl w:val="16B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34BB0"/>
    <w:multiLevelType w:val="multilevel"/>
    <w:tmpl w:val="A73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E368D4"/>
    <w:multiLevelType w:val="multilevel"/>
    <w:tmpl w:val="BD9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67CEF"/>
    <w:multiLevelType w:val="multilevel"/>
    <w:tmpl w:val="5A2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F3999"/>
    <w:multiLevelType w:val="multilevel"/>
    <w:tmpl w:val="B97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D6DAC"/>
    <w:multiLevelType w:val="multilevel"/>
    <w:tmpl w:val="804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A3A81"/>
    <w:multiLevelType w:val="multilevel"/>
    <w:tmpl w:val="69C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6C73BC"/>
    <w:multiLevelType w:val="multilevel"/>
    <w:tmpl w:val="72B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86E95"/>
    <w:multiLevelType w:val="multilevel"/>
    <w:tmpl w:val="38C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7D3F07"/>
    <w:multiLevelType w:val="multilevel"/>
    <w:tmpl w:val="544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82"/>
    <w:rsid w:val="00156175"/>
    <w:rsid w:val="00541CC7"/>
    <w:rsid w:val="00CC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365"/>
  <w15:chartTrackingRefBased/>
  <w15:docId w15:val="{2A91C5CB-D410-4077-9E19-3CAC119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rsid w:val="00CC0A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C0A8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C0A82"/>
    <w:rPr>
      <w:color w:val="0000FF"/>
      <w:u w:val="single"/>
    </w:rPr>
  </w:style>
  <w:style w:type="paragraph" w:customStyle="1" w:styleId="style-k2455frmrepeaterbutton">
    <w:name w:val="style-k2455frmrepeaterbutton"/>
    <w:basedOn w:val="Normal"/>
    <w:rsid w:val="00CC0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k2455frmrepeaterbuttonlabel">
    <w:name w:val="style-k2455frmrepeaterbuttonlabel"/>
    <w:basedOn w:val="Normal"/>
    <w:rsid w:val="00CC0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CC0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CC0A82"/>
  </w:style>
  <w:style w:type="character" w:customStyle="1" w:styleId="wixguard">
    <w:name w:val="wixguard"/>
    <w:basedOn w:val="DefaultParagraphFont"/>
    <w:rsid w:val="00C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2023">
      <w:bodyDiv w:val="1"/>
      <w:marLeft w:val="0"/>
      <w:marRight w:val="0"/>
      <w:marTop w:val="0"/>
      <w:marBottom w:val="0"/>
      <w:divBdr>
        <w:top w:val="none" w:sz="0" w:space="0" w:color="auto"/>
        <w:left w:val="none" w:sz="0" w:space="0" w:color="auto"/>
        <w:bottom w:val="none" w:sz="0" w:space="0" w:color="auto"/>
        <w:right w:val="none" w:sz="0" w:space="0" w:color="auto"/>
      </w:divBdr>
      <w:divsChild>
        <w:div w:id="831718661">
          <w:marLeft w:val="0"/>
          <w:marRight w:val="0"/>
          <w:marTop w:val="0"/>
          <w:marBottom w:val="0"/>
          <w:divBdr>
            <w:top w:val="none" w:sz="0" w:space="0" w:color="auto"/>
            <w:left w:val="none" w:sz="0" w:space="0" w:color="auto"/>
            <w:bottom w:val="none" w:sz="0" w:space="0" w:color="auto"/>
            <w:right w:val="none" w:sz="0" w:space="0" w:color="auto"/>
          </w:divBdr>
          <w:divsChild>
            <w:div w:id="1822966326">
              <w:marLeft w:val="0"/>
              <w:marRight w:val="0"/>
              <w:marTop w:val="0"/>
              <w:marBottom w:val="0"/>
              <w:divBdr>
                <w:top w:val="none" w:sz="0" w:space="0" w:color="auto"/>
                <w:left w:val="none" w:sz="0" w:space="0" w:color="auto"/>
                <w:bottom w:val="none" w:sz="0" w:space="0" w:color="auto"/>
                <w:right w:val="none" w:sz="0" w:space="0" w:color="auto"/>
              </w:divBdr>
              <w:divsChild>
                <w:div w:id="2103642002">
                  <w:marLeft w:val="0"/>
                  <w:marRight w:val="0"/>
                  <w:marTop w:val="0"/>
                  <w:marBottom w:val="0"/>
                  <w:divBdr>
                    <w:top w:val="none" w:sz="0" w:space="0" w:color="auto"/>
                    <w:left w:val="none" w:sz="0" w:space="0" w:color="auto"/>
                    <w:bottom w:val="none" w:sz="0" w:space="0" w:color="auto"/>
                    <w:right w:val="none" w:sz="0" w:space="0" w:color="auto"/>
                  </w:divBdr>
                  <w:divsChild>
                    <w:div w:id="945118418">
                      <w:marLeft w:val="0"/>
                      <w:marRight w:val="0"/>
                      <w:marTop w:val="0"/>
                      <w:marBottom w:val="0"/>
                      <w:divBdr>
                        <w:top w:val="none" w:sz="0" w:space="0" w:color="auto"/>
                        <w:left w:val="none" w:sz="0" w:space="0" w:color="auto"/>
                        <w:bottom w:val="none" w:sz="0" w:space="0" w:color="auto"/>
                        <w:right w:val="none" w:sz="0" w:space="0" w:color="auto"/>
                      </w:divBdr>
                      <w:divsChild>
                        <w:div w:id="1668704754">
                          <w:marLeft w:val="0"/>
                          <w:marRight w:val="0"/>
                          <w:marTop w:val="0"/>
                          <w:marBottom w:val="0"/>
                          <w:divBdr>
                            <w:top w:val="none" w:sz="0" w:space="0" w:color="auto"/>
                            <w:left w:val="none" w:sz="0" w:space="0" w:color="auto"/>
                            <w:bottom w:val="none" w:sz="0" w:space="0" w:color="auto"/>
                            <w:right w:val="none" w:sz="0" w:space="0" w:color="auto"/>
                          </w:divBdr>
                        </w:div>
                        <w:div w:id="2147232255">
                          <w:marLeft w:val="0"/>
                          <w:marRight w:val="0"/>
                          <w:marTop w:val="0"/>
                          <w:marBottom w:val="0"/>
                          <w:divBdr>
                            <w:top w:val="none" w:sz="0" w:space="0" w:color="auto"/>
                            <w:left w:val="none" w:sz="0" w:space="0" w:color="auto"/>
                            <w:bottom w:val="none" w:sz="0" w:space="0" w:color="auto"/>
                            <w:right w:val="none" w:sz="0" w:space="0" w:color="auto"/>
                          </w:divBdr>
                          <w:divsChild>
                            <w:div w:id="1593783522">
                              <w:marLeft w:val="0"/>
                              <w:marRight w:val="0"/>
                              <w:marTop w:val="0"/>
                              <w:marBottom w:val="0"/>
                              <w:divBdr>
                                <w:top w:val="none" w:sz="0" w:space="0" w:color="auto"/>
                                <w:left w:val="none" w:sz="0" w:space="0" w:color="auto"/>
                                <w:bottom w:val="none" w:sz="0" w:space="0" w:color="auto"/>
                                <w:right w:val="none" w:sz="0" w:space="0" w:color="auto"/>
                              </w:divBdr>
                            </w:div>
                            <w:div w:id="470246257">
                              <w:marLeft w:val="0"/>
                              <w:marRight w:val="0"/>
                              <w:marTop w:val="0"/>
                              <w:marBottom w:val="0"/>
                              <w:divBdr>
                                <w:top w:val="none" w:sz="0" w:space="0" w:color="auto"/>
                                <w:left w:val="none" w:sz="0" w:space="0" w:color="auto"/>
                                <w:bottom w:val="none" w:sz="0" w:space="0" w:color="auto"/>
                                <w:right w:val="none" w:sz="0" w:space="0" w:color="auto"/>
                              </w:divBdr>
                            </w:div>
                            <w:div w:id="760028949">
                              <w:marLeft w:val="0"/>
                              <w:marRight w:val="0"/>
                              <w:marTop w:val="0"/>
                              <w:marBottom w:val="0"/>
                              <w:divBdr>
                                <w:top w:val="none" w:sz="0" w:space="0" w:color="auto"/>
                                <w:left w:val="none" w:sz="0" w:space="0" w:color="auto"/>
                                <w:bottom w:val="none" w:sz="0" w:space="0" w:color="auto"/>
                                <w:right w:val="none" w:sz="0" w:space="0" w:color="auto"/>
                              </w:divBdr>
                            </w:div>
                            <w:div w:id="562183697">
                              <w:marLeft w:val="0"/>
                              <w:marRight w:val="0"/>
                              <w:marTop w:val="0"/>
                              <w:marBottom w:val="0"/>
                              <w:divBdr>
                                <w:top w:val="none" w:sz="0" w:space="0" w:color="auto"/>
                                <w:left w:val="none" w:sz="0" w:space="0" w:color="auto"/>
                                <w:bottom w:val="none" w:sz="0" w:space="0" w:color="auto"/>
                                <w:right w:val="none" w:sz="0" w:space="0" w:color="auto"/>
                              </w:divBdr>
                            </w:div>
                            <w:div w:id="5718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03327">
          <w:marLeft w:val="0"/>
          <w:marRight w:val="0"/>
          <w:marTop w:val="0"/>
          <w:marBottom w:val="0"/>
          <w:divBdr>
            <w:top w:val="none" w:sz="0" w:space="0" w:color="auto"/>
            <w:left w:val="none" w:sz="0" w:space="0" w:color="auto"/>
            <w:bottom w:val="none" w:sz="0" w:space="0" w:color="auto"/>
            <w:right w:val="none" w:sz="0" w:space="0" w:color="auto"/>
          </w:divBdr>
          <w:divsChild>
            <w:div w:id="353657487">
              <w:marLeft w:val="0"/>
              <w:marRight w:val="0"/>
              <w:marTop w:val="0"/>
              <w:marBottom w:val="0"/>
              <w:divBdr>
                <w:top w:val="none" w:sz="0" w:space="0" w:color="auto"/>
                <w:left w:val="none" w:sz="0" w:space="0" w:color="auto"/>
                <w:bottom w:val="none" w:sz="0" w:space="0" w:color="auto"/>
                <w:right w:val="none" w:sz="0" w:space="0" w:color="auto"/>
              </w:divBdr>
              <w:divsChild>
                <w:div w:id="1324777301">
                  <w:marLeft w:val="0"/>
                  <w:marRight w:val="0"/>
                  <w:marTop w:val="0"/>
                  <w:marBottom w:val="0"/>
                  <w:divBdr>
                    <w:top w:val="none" w:sz="0" w:space="0" w:color="auto"/>
                    <w:left w:val="none" w:sz="0" w:space="0" w:color="auto"/>
                    <w:bottom w:val="none" w:sz="0" w:space="0" w:color="auto"/>
                    <w:right w:val="none" w:sz="0" w:space="0" w:color="auto"/>
                  </w:divBdr>
                  <w:divsChild>
                    <w:div w:id="884566819">
                      <w:marLeft w:val="0"/>
                      <w:marRight w:val="0"/>
                      <w:marTop w:val="0"/>
                      <w:marBottom w:val="0"/>
                      <w:divBdr>
                        <w:top w:val="none" w:sz="0" w:space="0" w:color="auto"/>
                        <w:left w:val="none" w:sz="0" w:space="0" w:color="auto"/>
                        <w:bottom w:val="none" w:sz="0" w:space="0" w:color="auto"/>
                        <w:right w:val="none" w:sz="0" w:space="0" w:color="auto"/>
                      </w:divBdr>
                      <w:divsChild>
                        <w:div w:id="1854176626">
                          <w:marLeft w:val="0"/>
                          <w:marRight w:val="0"/>
                          <w:marTop w:val="0"/>
                          <w:marBottom w:val="0"/>
                          <w:divBdr>
                            <w:top w:val="none" w:sz="0" w:space="0" w:color="auto"/>
                            <w:left w:val="none" w:sz="0" w:space="0" w:color="auto"/>
                            <w:bottom w:val="none" w:sz="0" w:space="0" w:color="auto"/>
                            <w:right w:val="none" w:sz="0" w:space="0" w:color="auto"/>
                          </w:divBdr>
                          <w:divsChild>
                            <w:div w:id="1759599308">
                              <w:marLeft w:val="0"/>
                              <w:marRight w:val="0"/>
                              <w:marTop w:val="0"/>
                              <w:marBottom w:val="0"/>
                              <w:divBdr>
                                <w:top w:val="none" w:sz="0" w:space="0" w:color="auto"/>
                                <w:left w:val="none" w:sz="0" w:space="0" w:color="auto"/>
                                <w:bottom w:val="none" w:sz="0" w:space="0" w:color="auto"/>
                                <w:right w:val="none" w:sz="0" w:space="0" w:color="auto"/>
                              </w:divBdr>
                              <w:divsChild>
                                <w:div w:id="26680438">
                                  <w:marLeft w:val="0"/>
                                  <w:marRight w:val="0"/>
                                  <w:marTop w:val="0"/>
                                  <w:marBottom w:val="0"/>
                                  <w:divBdr>
                                    <w:top w:val="none" w:sz="0" w:space="0" w:color="auto"/>
                                    <w:left w:val="none" w:sz="0" w:space="0" w:color="auto"/>
                                    <w:bottom w:val="none" w:sz="0" w:space="0" w:color="auto"/>
                                    <w:right w:val="none" w:sz="0" w:space="0" w:color="auto"/>
                                  </w:divBdr>
                                  <w:divsChild>
                                    <w:div w:id="1034501008">
                                      <w:marLeft w:val="0"/>
                                      <w:marRight w:val="0"/>
                                      <w:marTop w:val="0"/>
                                      <w:marBottom w:val="0"/>
                                      <w:divBdr>
                                        <w:top w:val="none" w:sz="0" w:space="0" w:color="auto"/>
                                        <w:left w:val="none" w:sz="0" w:space="0" w:color="auto"/>
                                        <w:bottom w:val="none" w:sz="0" w:space="0" w:color="auto"/>
                                        <w:right w:val="none" w:sz="0" w:space="0" w:color="auto"/>
                                      </w:divBdr>
                                      <w:divsChild>
                                        <w:div w:id="98525506">
                                          <w:marLeft w:val="0"/>
                                          <w:marRight w:val="0"/>
                                          <w:marTop w:val="0"/>
                                          <w:marBottom w:val="0"/>
                                          <w:divBdr>
                                            <w:top w:val="none" w:sz="0" w:space="0" w:color="auto"/>
                                            <w:left w:val="none" w:sz="0" w:space="0" w:color="auto"/>
                                            <w:bottom w:val="none" w:sz="0" w:space="0" w:color="auto"/>
                                            <w:right w:val="none" w:sz="0" w:space="0" w:color="auto"/>
                                          </w:divBdr>
                                          <w:divsChild>
                                            <w:div w:id="1155099392">
                                              <w:marLeft w:val="0"/>
                                              <w:marRight w:val="0"/>
                                              <w:marTop w:val="0"/>
                                              <w:marBottom w:val="0"/>
                                              <w:divBdr>
                                                <w:top w:val="none" w:sz="0" w:space="0" w:color="auto"/>
                                                <w:left w:val="none" w:sz="0" w:space="0" w:color="auto"/>
                                                <w:bottom w:val="none" w:sz="0" w:space="0" w:color="auto"/>
                                                <w:right w:val="none" w:sz="0" w:space="0" w:color="auto"/>
                                              </w:divBdr>
                                              <w:divsChild>
                                                <w:div w:id="1798645704">
                                                  <w:marLeft w:val="0"/>
                                                  <w:marRight w:val="0"/>
                                                  <w:marTop w:val="0"/>
                                                  <w:marBottom w:val="0"/>
                                                  <w:divBdr>
                                                    <w:top w:val="none" w:sz="0" w:space="0" w:color="auto"/>
                                                    <w:left w:val="none" w:sz="0" w:space="0" w:color="auto"/>
                                                    <w:bottom w:val="none" w:sz="0" w:space="0" w:color="auto"/>
                                                    <w:right w:val="none" w:sz="0" w:space="0" w:color="auto"/>
                                                  </w:divBdr>
                                                  <w:divsChild>
                                                    <w:div w:id="401723">
                                                      <w:marLeft w:val="0"/>
                                                      <w:marRight w:val="0"/>
                                                      <w:marTop w:val="0"/>
                                                      <w:marBottom w:val="0"/>
                                                      <w:divBdr>
                                                        <w:top w:val="none" w:sz="0" w:space="0" w:color="auto"/>
                                                        <w:left w:val="none" w:sz="0" w:space="0" w:color="auto"/>
                                                        <w:bottom w:val="none" w:sz="0" w:space="0" w:color="auto"/>
                                                        <w:right w:val="none" w:sz="0" w:space="0" w:color="auto"/>
                                                      </w:divBdr>
                                                      <w:divsChild>
                                                        <w:div w:id="602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6064">
                                      <w:marLeft w:val="0"/>
                                      <w:marRight w:val="0"/>
                                      <w:marTop w:val="0"/>
                                      <w:marBottom w:val="0"/>
                                      <w:divBdr>
                                        <w:top w:val="none" w:sz="0" w:space="0" w:color="auto"/>
                                        <w:left w:val="none" w:sz="0" w:space="0" w:color="auto"/>
                                        <w:bottom w:val="none" w:sz="0" w:space="0" w:color="auto"/>
                                        <w:right w:val="none" w:sz="0" w:space="0" w:color="auto"/>
                                      </w:divBdr>
                                      <w:divsChild>
                                        <w:div w:id="489637045">
                                          <w:marLeft w:val="0"/>
                                          <w:marRight w:val="0"/>
                                          <w:marTop w:val="0"/>
                                          <w:marBottom w:val="0"/>
                                          <w:divBdr>
                                            <w:top w:val="none" w:sz="0" w:space="0" w:color="auto"/>
                                            <w:left w:val="none" w:sz="0" w:space="0" w:color="auto"/>
                                            <w:bottom w:val="none" w:sz="0" w:space="0" w:color="auto"/>
                                            <w:right w:val="none" w:sz="0" w:space="0" w:color="auto"/>
                                          </w:divBdr>
                                          <w:divsChild>
                                            <w:div w:id="1809282594">
                                              <w:marLeft w:val="0"/>
                                              <w:marRight w:val="0"/>
                                              <w:marTop w:val="0"/>
                                              <w:marBottom w:val="0"/>
                                              <w:divBdr>
                                                <w:top w:val="none" w:sz="0" w:space="0" w:color="auto"/>
                                                <w:left w:val="none" w:sz="0" w:space="0" w:color="auto"/>
                                                <w:bottom w:val="none" w:sz="0" w:space="0" w:color="auto"/>
                                                <w:right w:val="none" w:sz="0" w:space="0" w:color="auto"/>
                                              </w:divBdr>
                                              <w:divsChild>
                                                <w:div w:id="808668775">
                                                  <w:marLeft w:val="0"/>
                                                  <w:marRight w:val="0"/>
                                                  <w:marTop w:val="0"/>
                                                  <w:marBottom w:val="0"/>
                                                  <w:divBdr>
                                                    <w:top w:val="none" w:sz="0" w:space="0" w:color="auto"/>
                                                    <w:left w:val="none" w:sz="0" w:space="0" w:color="auto"/>
                                                    <w:bottom w:val="none" w:sz="0" w:space="0" w:color="auto"/>
                                                    <w:right w:val="none" w:sz="0" w:space="0" w:color="auto"/>
                                                  </w:divBdr>
                                                  <w:divsChild>
                                                    <w:div w:id="6252489">
                                                      <w:marLeft w:val="0"/>
                                                      <w:marRight w:val="0"/>
                                                      <w:marTop w:val="0"/>
                                                      <w:marBottom w:val="0"/>
                                                      <w:divBdr>
                                                        <w:top w:val="none" w:sz="0" w:space="0" w:color="auto"/>
                                                        <w:left w:val="none" w:sz="0" w:space="0" w:color="auto"/>
                                                        <w:bottom w:val="none" w:sz="0" w:space="0" w:color="auto"/>
                                                        <w:right w:val="none" w:sz="0" w:space="0" w:color="auto"/>
                                                      </w:divBdr>
                                                      <w:divsChild>
                                                        <w:div w:id="3598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7338">
                                      <w:marLeft w:val="0"/>
                                      <w:marRight w:val="0"/>
                                      <w:marTop w:val="240"/>
                                      <w:marBottom w:val="150"/>
                                      <w:divBdr>
                                        <w:top w:val="none" w:sz="0" w:space="0" w:color="auto"/>
                                        <w:left w:val="none" w:sz="0" w:space="0" w:color="auto"/>
                                        <w:bottom w:val="none" w:sz="0" w:space="0" w:color="auto"/>
                                        <w:right w:val="none" w:sz="0" w:space="0" w:color="auto"/>
                                      </w:divBdr>
                                    </w:div>
                                    <w:div w:id="1299339930">
                                      <w:marLeft w:val="0"/>
                                      <w:marRight w:val="0"/>
                                      <w:marTop w:val="0"/>
                                      <w:marBottom w:val="0"/>
                                      <w:divBdr>
                                        <w:top w:val="none" w:sz="0" w:space="0" w:color="auto"/>
                                        <w:left w:val="none" w:sz="0" w:space="0" w:color="auto"/>
                                        <w:bottom w:val="none" w:sz="0" w:space="0" w:color="auto"/>
                                        <w:right w:val="none" w:sz="0" w:space="0" w:color="auto"/>
                                      </w:divBdr>
                                      <w:divsChild>
                                        <w:div w:id="366759171">
                                          <w:marLeft w:val="0"/>
                                          <w:marRight w:val="0"/>
                                          <w:marTop w:val="0"/>
                                          <w:marBottom w:val="0"/>
                                          <w:divBdr>
                                            <w:top w:val="none" w:sz="0" w:space="0" w:color="auto"/>
                                            <w:left w:val="none" w:sz="0" w:space="0" w:color="auto"/>
                                            <w:bottom w:val="none" w:sz="0" w:space="0" w:color="auto"/>
                                            <w:right w:val="none" w:sz="0" w:space="0" w:color="auto"/>
                                          </w:divBdr>
                                          <w:divsChild>
                                            <w:div w:id="1068261246">
                                              <w:marLeft w:val="0"/>
                                              <w:marRight w:val="0"/>
                                              <w:marTop w:val="0"/>
                                              <w:marBottom w:val="0"/>
                                              <w:divBdr>
                                                <w:top w:val="none" w:sz="0" w:space="0" w:color="auto"/>
                                                <w:left w:val="none" w:sz="0" w:space="0" w:color="auto"/>
                                                <w:bottom w:val="none" w:sz="0" w:space="0" w:color="auto"/>
                                                <w:right w:val="none" w:sz="0" w:space="0" w:color="auto"/>
                                              </w:divBdr>
                                              <w:divsChild>
                                                <w:div w:id="1216550541">
                                                  <w:marLeft w:val="0"/>
                                                  <w:marRight w:val="0"/>
                                                  <w:marTop w:val="0"/>
                                                  <w:marBottom w:val="0"/>
                                                  <w:divBdr>
                                                    <w:top w:val="none" w:sz="0" w:space="0" w:color="auto"/>
                                                    <w:left w:val="none" w:sz="0" w:space="0" w:color="auto"/>
                                                    <w:bottom w:val="none" w:sz="0" w:space="0" w:color="auto"/>
                                                    <w:right w:val="none" w:sz="0" w:space="0" w:color="auto"/>
                                                  </w:divBdr>
                                                  <w:divsChild>
                                                    <w:div w:id="210187588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2338">
                                          <w:marLeft w:val="0"/>
                                          <w:marRight w:val="0"/>
                                          <w:marTop w:val="0"/>
                                          <w:marBottom w:val="0"/>
                                          <w:divBdr>
                                            <w:top w:val="none" w:sz="0" w:space="0" w:color="auto"/>
                                            <w:left w:val="none" w:sz="0" w:space="0" w:color="auto"/>
                                            <w:bottom w:val="none" w:sz="0" w:space="0" w:color="auto"/>
                                            <w:right w:val="none" w:sz="0" w:space="0" w:color="auto"/>
                                          </w:divBdr>
                                          <w:divsChild>
                                            <w:div w:id="363334243">
                                              <w:marLeft w:val="0"/>
                                              <w:marRight w:val="0"/>
                                              <w:marTop w:val="0"/>
                                              <w:marBottom w:val="0"/>
                                              <w:divBdr>
                                                <w:top w:val="none" w:sz="0" w:space="0" w:color="auto"/>
                                                <w:left w:val="none" w:sz="0" w:space="0" w:color="auto"/>
                                                <w:bottom w:val="none" w:sz="0" w:space="0" w:color="auto"/>
                                                <w:right w:val="none" w:sz="0" w:space="0" w:color="auto"/>
                                              </w:divBdr>
                                              <w:divsChild>
                                                <w:div w:id="554045782">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sChild>
                                                        <w:div w:id="3750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40391">
                                      <w:marLeft w:val="0"/>
                                      <w:marRight w:val="0"/>
                                      <w:marTop w:val="0"/>
                                      <w:marBottom w:val="0"/>
                                      <w:divBdr>
                                        <w:top w:val="none" w:sz="0" w:space="0" w:color="auto"/>
                                        <w:left w:val="none" w:sz="0" w:space="0" w:color="auto"/>
                                        <w:bottom w:val="none" w:sz="0" w:space="0" w:color="auto"/>
                                        <w:right w:val="none" w:sz="0" w:space="0" w:color="auto"/>
                                      </w:divBdr>
                                      <w:divsChild>
                                        <w:div w:id="1972053439">
                                          <w:marLeft w:val="0"/>
                                          <w:marRight w:val="0"/>
                                          <w:marTop w:val="0"/>
                                          <w:marBottom w:val="0"/>
                                          <w:divBdr>
                                            <w:top w:val="none" w:sz="0" w:space="0" w:color="auto"/>
                                            <w:left w:val="none" w:sz="0" w:space="0" w:color="auto"/>
                                            <w:bottom w:val="none" w:sz="0" w:space="0" w:color="auto"/>
                                            <w:right w:val="none" w:sz="0" w:space="0" w:color="auto"/>
                                          </w:divBdr>
                                          <w:divsChild>
                                            <w:div w:id="1980261122">
                                              <w:marLeft w:val="0"/>
                                              <w:marRight w:val="0"/>
                                              <w:marTop w:val="0"/>
                                              <w:marBottom w:val="0"/>
                                              <w:divBdr>
                                                <w:top w:val="none" w:sz="0" w:space="0" w:color="auto"/>
                                                <w:left w:val="none" w:sz="0" w:space="0" w:color="auto"/>
                                                <w:bottom w:val="none" w:sz="0" w:space="0" w:color="auto"/>
                                                <w:right w:val="none" w:sz="0" w:space="0" w:color="auto"/>
                                              </w:divBdr>
                                              <w:divsChild>
                                                <w:div w:id="2118937330">
                                                  <w:marLeft w:val="0"/>
                                                  <w:marRight w:val="0"/>
                                                  <w:marTop w:val="0"/>
                                                  <w:marBottom w:val="0"/>
                                                  <w:divBdr>
                                                    <w:top w:val="none" w:sz="0" w:space="0" w:color="auto"/>
                                                    <w:left w:val="none" w:sz="0" w:space="0" w:color="auto"/>
                                                    <w:bottom w:val="none" w:sz="0" w:space="0" w:color="auto"/>
                                                    <w:right w:val="none" w:sz="0" w:space="0" w:color="auto"/>
                                                  </w:divBdr>
                                                  <w:divsChild>
                                                    <w:div w:id="1672374559">
                                                      <w:marLeft w:val="0"/>
                                                      <w:marRight w:val="0"/>
                                                      <w:marTop w:val="0"/>
                                                      <w:marBottom w:val="0"/>
                                                      <w:divBdr>
                                                        <w:top w:val="none" w:sz="0" w:space="0" w:color="auto"/>
                                                        <w:left w:val="none" w:sz="0" w:space="0" w:color="auto"/>
                                                        <w:bottom w:val="none" w:sz="0" w:space="0" w:color="auto"/>
                                                        <w:right w:val="none" w:sz="0" w:space="0" w:color="auto"/>
                                                      </w:divBdr>
                                                      <w:divsChild>
                                                        <w:div w:id="7884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81820">
                                      <w:marLeft w:val="0"/>
                                      <w:marRight w:val="0"/>
                                      <w:marTop w:val="420"/>
                                      <w:marBottom w:val="150"/>
                                      <w:divBdr>
                                        <w:top w:val="none" w:sz="0" w:space="0" w:color="auto"/>
                                        <w:left w:val="none" w:sz="0" w:space="0" w:color="auto"/>
                                        <w:bottom w:val="none" w:sz="0" w:space="0" w:color="auto"/>
                                        <w:right w:val="none" w:sz="0" w:space="0" w:color="auto"/>
                                      </w:divBdr>
                                    </w:div>
                                    <w:div w:id="1444616787">
                                      <w:marLeft w:val="0"/>
                                      <w:marRight w:val="0"/>
                                      <w:marTop w:val="0"/>
                                      <w:marBottom w:val="0"/>
                                      <w:divBdr>
                                        <w:top w:val="none" w:sz="0" w:space="0" w:color="auto"/>
                                        <w:left w:val="none" w:sz="0" w:space="0" w:color="auto"/>
                                        <w:bottom w:val="none" w:sz="0" w:space="0" w:color="auto"/>
                                        <w:right w:val="none" w:sz="0" w:space="0" w:color="auto"/>
                                      </w:divBdr>
                                      <w:divsChild>
                                        <w:div w:id="788546904">
                                          <w:marLeft w:val="0"/>
                                          <w:marRight w:val="0"/>
                                          <w:marTop w:val="0"/>
                                          <w:marBottom w:val="0"/>
                                          <w:divBdr>
                                            <w:top w:val="none" w:sz="0" w:space="0" w:color="auto"/>
                                            <w:left w:val="none" w:sz="0" w:space="0" w:color="auto"/>
                                            <w:bottom w:val="none" w:sz="0" w:space="0" w:color="auto"/>
                                            <w:right w:val="none" w:sz="0" w:space="0" w:color="auto"/>
                                          </w:divBdr>
                                          <w:divsChild>
                                            <w:div w:id="950404144">
                                              <w:marLeft w:val="0"/>
                                              <w:marRight w:val="0"/>
                                              <w:marTop w:val="0"/>
                                              <w:marBottom w:val="0"/>
                                              <w:divBdr>
                                                <w:top w:val="none" w:sz="0" w:space="0" w:color="auto"/>
                                                <w:left w:val="none" w:sz="0" w:space="0" w:color="auto"/>
                                                <w:bottom w:val="none" w:sz="0" w:space="0" w:color="auto"/>
                                                <w:right w:val="none" w:sz="0" w:space="0" w:color="auto"/>
                                              </w:divBdr>
                                              <w:divsChild>
                                                <w:div w:id="1009672217">
                                                  <w:marLeft w:val="0"/>
                                                  <w:marRight w:val="0"/>
                                                  <w:marTop w:val="0"/>
                                                  <w:marBottom w:val="0"/>
                                                  <w:divBdr>
                                                    <w:top w:val="none" w:sz="0" w:space="0" w:color="auto"/>
                                                    <w:left w:val="none" w:sz="0" w:space="0" w:color="auto"/>
                                                    <w:bottom w:val="none" w:sz="0" w:space="0" w:color="auto"/>
                                                    <w:right w:val="none" w:sz="0" w:space="0" w:color="auto"/>
                                                  </w:divBdr>
                                                  <w:divsChild>
                                                    <w:div w:id="1100875951">
                                                      <w:marLeft w:val="0"/>
                                                      <w:marRight w:val="0"/>
                                                      <w:marTop w:val="0"/>
                                                      <w:marBottom w:val="0"/>
                                                      <w:divBdr>
                                                        <w:top w:val="none" w:sz="0" w:space="0" w:color="auto"/>
                                                        <w:left w:val="none" w:sz="0" w:space="0" w:color="auto"/>
                                                        <w:bottom w:val="none" w:sz="0" w:space="0" w:color="auto"/>
                                                        <w:right w:val="none" w:sz="0" w:space="0" w:color="auto"/>
                                                      </w:divBdr>
                                                      <w:divsChild>
                                                        <w:div w:id="7015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orhomes.org/work" TargetMode="External"/><Relationship Id="rId3" Type="http://schemas.openxmlformats.org/officeDocument/2006/relationships/settings" Target="settings.xml"/><Relationship Id="rId7" Type="http://schemas.openxmlformats.org/officeDocument/2006/relationships/hyperlink" Target="https://www.caforhomes.org/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forhomes.org/work" TargetMode="External"/><Relationship Id="rId11" Type="http://schemas.openxmlformats.org/officeDocument/2006/relationships/fontTable" Target="fontTable.xml"/><Relationship Id="rId5" Type="http://schemas.openxmlformats.org/officeDocument/2006/relationships/hyperlink" Target="https://www.caforhomes.org/" TargetMode="External"/><Relationship Id="rId10" Type="http://schemas.openxmlformats.org/officeDocument/2006/relationships/hyperlink" Target="https://www.caforhomes.org/contact" TargetMode="External"/><Relationship Id="rId4" Type="http://schemas.openxmlformats.org/officeDocument/2006/relationships/webSettings" Target="webSettings.xml"/><Relationship Id="rId9" Type="http://schemas.openxmlformats.org/officeDocument/2006/relationships/hyperlink" Target="https://www.caforhomes.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5</cp:revision>
  <dcterms:created xsi:type="dcterms:W3CDTF">2019-11-27T01:04:00Z</dcterms:created>
  <dcterms:modified xsi:type="dcterms:W3CDTF">2019-11-27T01:10:00Z</dcterms:modified>
</cp:coreProperties>
</file>